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FB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  <w:r w:rsidRPr="002E1603">
        <w:rPr>
          <w:rFonts w:ascii="Segoe UI" w:hAnsi="Segoe UI" w:cs="Segoe UI"/>
          <w:b/>
          <w:bCs/>
          <w:sz w:val="18"/>
          <w:szCs w:val="18"/>
        </w:rPr>
        <w:t xml:space="preserve">Summary of all studies evaluating ID fIPV </w:t>
      </w:r>
      <w:bookmarkStart w:id="0" w:name="_GoBack"/>
      <w:bookmarkEnd w:id="0"/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1526"/>
        <w:gridCol w:w="1593"/>
        <w:gridCol w:w="3686"/>
        <w:gridCol w:w="6757"/>
      </w:tblGrid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Publication (Year)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Country and Vaccine Supplier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Study Design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Major Findings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Resik S et al. </w:t>
            </w:r>
            <w:r w:rsidRPr="002E1603">
              <w:rPr>
                <w:rFonts w:asciiTheme="minorHAnsi" w:hAnsiTheme="minorHAnsi" w:cs="Segoe UI"/>
                <w:i/>
                <w:iCs/>
                <w:sz w:val="16"/>
                <w:szCs w:val="16"/>
              </w:rPr>
              <w:t>Unpublished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(2016)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Cuba (Bilthoven Biologicals)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Males aged 15-30 years who had previously received a polio vaccine. Two doses of IM IPV or ID fIPV administered 28 days apart.  ID given with BCG syringe and needle.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Immune response rates after 1 boosting dose were 94.8%, 98.0% and 98.4% for ID fIPV compared to 98.0, 98.1 and 99.2% for IM IPV against type 1, 2 and 3, respectively.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Immune response rates after 2 boosting dose were 94.0%, 98.0% and 99.2% for ID fIPV compared to 97.6%, 98.4% and 99.2% against type 1, 2 and 3, respectively.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Non-inferiority (margin &lt;10%) was demonstrated for ID fIPV all serotypes after 1 or 2 boosting doses.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Clarke E et al. </w:t>
            </w:r>
            <w:r w:rsidRPr="002E1603">
              <w:rPr>
                <w:rFonts w:asciiTheme="minorHAnsi" w:hAnsiTheme="minorHAnsi" w:cs="Segoe UI"/>
                <w:i/>
                <w:iCs/>
                <w:sz w:val="16"/>
                <w:szCs w:val="16"/>
              </w:rPr>
              <w:t xml:space="preserve">Unpublished 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(2016)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Gambia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A single dose of IPV was given at 9-10 months in children with at least three previous OPV doses.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IPV was administered by </w:t>
            </w:r>
            <w:proofErr w:type="gram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either IM needle and</w:t>
            </w:r>
            <w:proofErr w:type="gram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syringe, (n=178), IM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Stratis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(n=168), ID needle and syringe (n=177) or ID Tropis (n=177). 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Immune response induced for IM needle and syringe were  67%, 72%  and 83% , for IM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Stratis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were 66%,60%, 81%, for ID needle and syringe were 56%, 58%, 81% and ID Tropis were 43%, 42%, 69% for against serotype 1,2 and 3 respectively.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Anand et al. Vaccine (2015)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Bangladesh (Netherlands Vaccine Institute)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Two doses of IM IPV (n=132), or ID fIPV (n=128) administered at 6 and 14 weeks.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ID given with a micro-needle device (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MicronJet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,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Nanopass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>)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The priming response after one dose was 86%, 78%, 90% for ID fIPV whereas the IM IPV arm reached 94%, 90%, and 98 % against type 1, 2 and 3, respectively.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Seroconversion rates after two doses were 89% against type 1, 80% for type 2 and 89% for type 3 in ID fIPV arm, compared to 95%, 92% and 98% respectively for the IM IPV arm. 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  <w:lang w:val="en-US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 xml:space="preserve">Troy S et al. The Journal of Infectious Diseases (2015) 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USA (Sanofi Pasteur)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 xml:space="preserve">A single dose of 40% ID IPV (n=65), 20% ID IPV (n=63), full dose IM IPV (n=64) or 40% IM IPV (n=32) was given to HIV-infected adults. ID dose was given with 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a micro-needle device (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MicronJet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,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Nanopass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).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  <w:lang w:val="en-US"/>
              </w:rPr>
            </w:pP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Immune response induced by fractional IPV (1/5 to 2/5) was 84-91%, 84-92% and 87-91% against type 1, 2, and 3, while full dose IM arm had 92%, 94% and 98% for type 1, 2 and 3</w:t>
            </w:r>
            <w:r>
              <w:rPr>
                <w:rFonts w:asciiTheme="minorHAnsi" w:hAnsiTheme="minorHAnsi" w:cs="Segoe UI"/>
                <w:sz w:val="16"/>
                <w:szCs w:val="16"/>
              </w:rPr>
              <w:t>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  <w:lang w:val="en-US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>Resik S et al. Vaccine (2015)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Cuba (Sanofi Pasteur) 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 xml:space="preserve">Subjects received one dose of the following: ID fIPV administered by BCG Syringe (n=135),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>Bioject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 xml:space="preserve"> (n=145), ID Pen (n=153), Tropis (n=151) or IM IPV (n=146).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>Dose was given to 1-2 year old children who previously received two doses of OPV.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>
              <w:rPr>
                <w:rFonts w:asciiTheme="minorHAnsi" w:hAnsiTheme="minorHAnsi" w:cs="Segoe UI"/>
                <w:sz w:val="16"/>
                <w:szCs w:val="16"/>
              </w:rPr>
              <w:t>Proportion of children with an immune response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induced by ID fIPV (1/5) </w:t>
            </w:r>
            <w:r>
              <w:rPr>
                <w:rFonts w:asciiTheme="minorHAnsi" w:hAnsiTheme="minorHAnsi" w:cs="Segoe UI"/>
                <w:sz w:val="16"/>
                <w:szCs w:val="16"/>
              </w:rPr>
              <w:t xml:space="preserve">(excluding administration with ID Pen) 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was </w:t>
            </w:r>
            <w:r>
              <w:rPr>
                <w:rFonts w:asciiTheme="minorHAnsi" w:hAnsiTheme="minorHAnsi" w:cs="Segoe UI"/>
                <w:sz w:val="16"/>
                <w:szCs w:val="16"/>
              </w:rPr>
              <w:t>54.4%, 52.0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% </w:t>
            </w:r>
            <w:r>
              <w:rPr>
                <w:rFonts w:asciiTheme="minorHAnsi" w:hAnsiTheme="minorHAnsi" w:cs="Segoe UI"/>
                <w:sz w:val="16"/>
                <w:szCs w:val="16"/>
              </w:rPr>
              <w:t xml:space="preserve">and 78.4% 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against type 1, 2, and 3, which was lower than full dose IPV (</w:t>
            </w:r>
            <w:r>
              <w:rPr>
                <w:rFonts w:asciiTheme="minorHAnsi" w:hAnsiTheme="minorHAnsi" w:cs="Segoe UI"/>
                <w:sz w:val="16"/>
                <w:szCs w:val="16"/>
              </w:rPr>
              <w:t>89.5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%, </w:t>
            </w:r>
            <w:r>
              <w:rPr>
                <w:rFonts w:asciiTheme="minorHAnsi" w:hAnsiTheme="minorHAnsi" w:cs="Segoe UI"/>
                <w:sz w:val="16"/>
                <w:szCs w:val="16"/>
              </w:rPr>
              <w:t>87.9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% and 9</w:t>
            </w:r>
            <w:r>
              <w:rPr>
                <w:rFonts w:asciiTheme="minorHAnsi" w:hAnsiTheme="minorHAnsi" w:cs="Segoe UI"/>
                <w:sz w:val="16"/>
                <w:szCs w:val="16"/>
              </w:rPr>
              <w:t>6.8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% for type 1, 2 and 3</w:t>
            </w:r>
            <w:r w:rsidRPr="00FD14B9">
              <w:rPr>
                <w:rFonts w:asciiTheme="minorHAnsi" w:hAnsiTheme="minorHAnsi" w:cs="Segoe UI"/>
                <w:sz w:val="16"/>
                <w:szCs w:val="16"/>
              </w:rPr>
              <w:t xml:space="preserve">).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The immune response achieved with the ID Pen was significantly lower than for the other ID devices, for all three serotypes.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>Resik S et al. The New England Journal of Medicine (2013)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Cuba (Netherlands Vaccine Institute)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Two doses of ID fIPV (n=157) or IM IPV (n=153) administered at 4 and 8 months.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ID given with a needle free device (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Biojector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2000,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Bioject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>).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The priming response after one dose was high for both the ID and IM arms; 90.8%, 94.0%, 89.6% in the fIPV ID arm and 97.6%, 98.2%, and 98.1% in the IM IPV arm against type 1, 2 and 3, respectively.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The </w:t>
            </w:r>
            <w:r w:rsidRPr="002E1603">
              <w:rPr>
                <w:rFonts w:asciiTheme="minorHAnsi" w:hAnsiTheme="minorHAnsi"/>
                <w:sz w:val="16"/>
                <w:szCs w:val="16"/>
              </w:rPr>
              <w:t>rates of seroconversion after two doses of IPV to poliovirus types 1, 2, and 3 were 93.6%, 98.1%, and 93.0% in the ID fIPV arm and 100%, 100%, and 99.4% in the IM IPV arm, respectively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  <w:lang w:val="en-US"/>
              </w:rPr>
            </w:pP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Soonawala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et al, Vaccine (2013)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Netherlands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(Netherlands Vaccine Institute)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ind w:left="34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One dose of IM IPV given to adults with a needle (n=32), IM IPV given with a jet (n=30), IM fIPV given with a needle (n=31) or ID fIPV given with jet (n=32). 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ind w:left="34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For the needle-free arms the Pharmajet v1.0 was used.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lastRenderedPageBreak/>
              <w:t xml:space="preserve">The highest </w:t>
            </w:r>
            <w:r>
              <w:rPr>
                <w:rFonts w:asciiTheme="minorHAnsi" w:hAnsiTheme="minorHAnsi" w:cs="Segoe UI"/>
                <w:sz w:val="16"/>
                <w:szCs w:val="16"/>
              </w:rPr>
              <w:t>sero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response rate was obtained for the IM IPV</w:t>
            </w:r>
            <w:r>
              <w:rPr>
                <w:rFonts w:asciiTheme="minorHAnsi" w:hAnsiTheme="minorHAnsi" w:cs="Segoe UI"/>
                <w:sz w:val="16"/>
                <w:szCs w:val="16"/>
              </w:rPr>
              <w:t xml:space="preserve"> arm given with a needle: 90%, 87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%, and 97% against type 1, 2 and 3, respectively.  In the ID fIPV arm, sero</w:t>
            </w:r>
            <w:r>
              <w:rPr>
                <w:rFonts w:asciiTheme="minorHAnsi" w:hAnsiTheme="minorHAnsi" w:cs="Segoe UI"/>
                <w:sz w:val="16"/>
                <w:szCs w:val="16"/>
              </w:rPr>
              <w:t>response rate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was </w:t>
            </w:r>
            <w:r>
              <w:rPr>
                <w:rFonts w:asciiTheme="minorHAnsi" w:hAnsiTheme="minorHAnsi" w:cs="Segoe UI"/>
                <w:sz w:val="16"/>
                <w:szCs w:val="16"/>
              </w:rPr>
              <w:t>69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% </w:t>
            </w:r>
            <w:r>
              <w:rPr>
                <w:rFonts w:asciiTheme="minorHAnsi" w:hAnsiTheme="minorHAnsi" w:cs="Segoe UI"/>
                <w:sz w:val="16"/>
                <w:szCs w:val="16"/>
              </w:rPr>
              <w:t>, 78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% </w:t>
            </w:r>
            <w:r>
              <w:rPr>
                <w:rFonts w:asciiTheme="minorHAnsi" w:hAnsiTheme="minorHAnsi" w:cs="Segoe UI"/>
                <w:sz w:val="16"/>
                <w:szCs w:val="16"/>
              </w:rPr>
              <w:t>and 72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% against type 1, 2 and 3, respectively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lastRenderedPageBreak/>
              <w:t>Cadorna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  <w:lang w:val="en-US"/>
              </w:rPr>
              <w:t>-Carlos J et al. International Journal of Infectious Diseases (2012)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Philippines, Sanofi Pasteur 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Three doses of ID fIPV (n=109) or IM IPV (n=114) administered at 6, 10, 14 weeks.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ID given with needle and syringe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The seroconversion rates were slightly lower in ID fIPV arm for poliovirus type 2 (95%) and 3 (96%) compared to 98% and 100% in the IM IPV arm.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The ID fIPV arm performed better for poliovirus type 1 reaching 99% compared to 97% of the IM IPV arm.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N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on-inferiority of fIPV was demonstrated in terms of immunogenicity.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  <w:lang w:val="fr-FR"/>
              </w:rPr>
              <w:t>Estivariz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  <w:lang w:val="fr-FR"/>
              </w:rPr>
              <w:t xml:space="preserve"> CF, The Lancet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  <w:lang w:val="fr-FR"/>
              </w:rPr>
              <w:t>Infectious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  <w:lang w:val="fr-FR"/>
              </w:rPr>
              <w:t>Diseases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  <w:lang w:val="fr-FR"/>
              </w:rPr>
              <w:t xml:space="preserve"> (2012)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India, GlaxoSmithKline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A single dose of ID fIPV GlaxoSmithKline (n=168), IM IPV GlaxoSmithKline (n=183) and IM IPV Panacea (n=169) administered to infants 6-9 months old.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The ID dose was given with a needle-free device (Pharmajet-device).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The seroconversion rate for the ID fIPV arm was 59% for poliovirus type 2 and 35% for type 3, compared to 100% and 91% respectively for IM IPV.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Documented issue with the ID device leading to more injection failures.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Mohammed AJ et al. The New England Journal of Medicine  (2010)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Oman, GlaxoSmithKline 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Three doses of ID fIPV (n=187) or IM IPV (n=186) administered at 2, 4, and 6 months. 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ID fIPV was administered with a needle free device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Biojector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2000 (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Bioject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>)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The rates of seroconversion to types 1, 2, and </w:t>
            </w:r>
            <w:proofErr w:type="gramStart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3 poliovirus</w:t>
            </w:r>
            <w:proofErr w:type="gramEnd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were 97.3%, 95.7%, and 97.9%, respectively, in the ID fIPV arm, as compared with 100% for all serotypes in the IM IPV arm.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The only significant difference was for seroconversion to type 2 (P=0.01)</w:t>
            </w:r>
            <w:r w:rsidRPr="002E1603">
              <w:rPr>
                <w:rStyle w:val="apple-converted-space"/>
                <w:rFonts w:asciiTheme="minorHAnsi" w:hAnsiTheme="minorHAnsi"/>
                <w:sz w:val="16"/>
                <w:szCs w:val="16"/>
              </w:rPr>
              <w:t xml:space="preserve">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ind w:left="34" w:hanging="34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Resik S et al. Journal of Infectious Disease (2010) 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proofErr w:type="gram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Cuba,</w:t>
            </w:r>
            <w:proofErr w:type="gram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Statens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Serum Institute. 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Three doses of ID fIPV (n= 187) or IM IPV (n=177) administered at 6, 10 and 14 weeks.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ID fIPV was administered with a needle free device 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Biojector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2000 (</w:t>
            </w: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Bioject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>)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Seroconversion rates were significantly lower in the ID fIPV arm: </w:t>
            </w:r>
            <w:r w:rsidRPr="002E1603">
              <w:rPr>
                <w:rFonts w:asciiTheme="minorHAnsi" w:hAnsiTheme="minorHAnsi"/>
                <w:sz w:val="16"/>
                <w:szCs w:val="16"/>
              </w:rPr>
              <w:t>53.9%, 85.0%, and 69.0% for poliovirus types 1, 2, and 3, respectively, in the ID fIPV arm, compared with 89.3%, 95.5%, and 98.9% in the IM IPV arm.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The lower immunogenicity is probably due to the inference with maternal antibody.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ind w:left="34" w:hanging="34"/>
              <w:rPr>
                <w:rFonts w:asciiTheme="minorHAnsi" w:hAnsiTheme="minorHAnsi" w:cs="Segoe UI"/>
                <w:sz w:val="16"/>
                <w:szCs w:val="16"/>
              </w:rPr>
            </w:pPr>
            <w:proofErr w:type="spellStart"/>
            <w:r w:rsidRPr="002E1603">
              <w:rPr>
                <w:rFonts w:asciiTheme="minorHAnsi" w:hAnsiTheme="minorHAnsi" w:cs="Segoe UI"/>
                <w:sz w:val="16"/>
                <w:szCs w:val="16"/>
              </w:rPr>
              <w:t>Nirmal</w:t>
            </w:r>
            <w:proofErr w:type="spellEnd"/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S et al. Vaccine (1998)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India, </w:t>
            </w:r>
            <w:proofErr w:type="spellStart"/>
            <w:r w:rsidRPr="002E1603">
              <w:rPr>
                <w:rFonts w:asciiTheme="minorHAnsi" w:hAnsiTheme="minorHAnsi"/>
                <w:sz w:val="16"/>
                <w:szCs w:val="16"/>
              </w:rPr>
              <w:t>Institut</w:t>
            </w:r>
            <w:proofErr w:type="spellEnd"/>
            <w:r w:rsidRPr="002E1603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Pr="002E1603">
              <w:rPr>
                <w:rFonts w:asciiTheme="minorHAnsi" w:hAnsiTheme="minorHAnsi"/>
                <w:sz w:val="16"/>
                <w:szCs w:val="16"/>
              </w:rPr>
              <w:t>Merieux</w:t>
            </w:r>
            <w:proofErr w:type="spellEnd"/>
            <w:r w:rsidRPr="002E1603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Infants aged 6-8 weeks received either 2 doses of ID fIPV given 8 weeks apart or 3 doses of ID fIPV given 4 weeks apart.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Seroconversion rates were 90%, 70%, and 97% in the 2 dose arm vs. 90%, 80%, and 98% in the 3 dose arm for serotypes 1, 2, and 3</w:t>
            </w:r>
            <w:r w:rsidRPr="002E1603">
              <w:rPr>
                <w:rStyle w:val="apple-converted-space"/>
                <w:rFonts w:asciiTheme="minorHAnsi" w:hAnsiTheme="minorHAnsi"/>
                <w:sz w:val="16"/>
                <w:szCs w:val="16"/>
              </w:rPr>
              <w:t xml:space="preserve">, respectively.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Samuel B et al. Vaccine (1992) 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India, 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spacing w:line="289" w:lineRule="atLeast"/>
              <w:rPr>
                <w:rFonts w:cs="Arial"/>
                <w:sz w:val="16"/>
                <w:szCs w:val="16"/>
              </w:rPr>
            </w:pPr>
            <w:r w:rsidRPr="002E1603">
              <w:rPr>
                <w:rFonts w:cs="Arial"/>
                <w:sz w:val="16"/>
                <w:szCs w:val="16"/>
              </w:rPr>
              <w:t>Uncontrolled trial in 9 6-week-old infants with ID fIPV 8 weeks apart.</w:t>
            </w:r>
          </w:p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Seroconversion rates of 78%, 89%, and 78% for serotypes 1, 2, and 3.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Samuel B et al. The Lancet (1991)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India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/>
                <w:sz w:val="16"/>
                <w:szCs w:val="16"/>
              </w:rPr>
              <w:t>One dose of ID fIPV was administered to 8 adults (aged 22 to 55 years) and 10 children (aged 7 to 10 years). Administered with needle and syringe.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Antibody titers to all 3 serotypes increased more than 4-fold in 15 subjects. There was a non-significant trend to higher increase in 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tit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e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r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s in adults versus children.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proofErr w:type="spellStart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Nigro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N et al. Miner </w:t>
            </w:r>
            <w:proofErr w:type="spellStart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Pediatr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(1965)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Italy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Study of relationship between skin reactions and antibody titers in ID IPV boosters in children.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Seroconversion rates of 72% in type 1, 75% in type 2, and 64% in type 3.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Rosa A et al. </w:t>
            </w:r>
            <w:proofErr w:type="spellStart"/>
            <w:r w:rsidRPr="002E1603">
              <w:rPr>
                <w:rFonts w:asciiTheme="minorHAnsi" w:hAnsiTheme="minorHAnsi" w:cs="Arial"/>
                <w:sz w:val="16"/>
                <w:szCs w:val="16"/>
              </w:rPr>
              <w:t>Rivista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2E1603">
              <w:rPr>
                <w:rFonts w:asciiTheme="minorHAnsi" w:hAnsiTheme="minorHAnsi" w:cs="Arial"/>
                <w:sz w:val="16"/>
                <w:szCs w:val="16"/>
              </w:rPr>
              <w:t>Italiana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2E1603">
              <w:rPr>
                <w:rFonts w:asciiTheme="minorHAnsi" w:hAnsiTheme="minorHAnsi" w:cs="Arial"/>
                <w:sz w:val="16"/>
                <w:szCs w:val="16"/>
              </w:rPr>
              <w:t>D'igiene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</w:rPr>
              <w:t xml:space="preserve"> (1959)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Italy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Three doses of ID 0.2ml IPV (2/5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  <w:vertAlign w:val="superscript"/>
              </w:rPr>
              <w:t>th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full dose) boosters were given to adults at 1, 4 and 10 weeks. 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In 3/4 subjects without pre-existing a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ntibody, 1st dose increased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tit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e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r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to a recordable level. In subjects with pre-existing a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ntibody, 1st dose increased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tit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e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r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. 2d a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nd 3d dose did not increase </w:t>
            </w:r>
            <w:proofErr w:type="spellStart"/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tit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e</w:t>
            </w:r>
            <w:r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r</w:t>
            </w:r>
            <w:proofErr w:type="spellEnd"/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further.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Connolly J et al. The Lancet (1958)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Ireland, Glaxo Laboratories 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Children aged 5 and under received either two doses of ID 0.3ml IPV (3/5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  <w:vertAlign w:val="superscript"/>
              </w:rPr>
              <w:t>th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full dose) at four weeks interval (n=52), two doses of IM 1ml IPV at four weeks interval (n=8) or two doses of IPV 5ml at four weeks interval (=7).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In children without pre-existing antibody to all three serotypes, there was a poor response to ID vaccination. In children without pre-existing antibody to just one serotype, there was a 0% antibody response to type 1, 76% to type 2 and 42% to type 3 after ID vaccination. Sample sizes were small.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/>
                <w:sz w:val="16"/>
                <w:szCs w:val="16"/>
              </w:rPr>
              <w:t xml:space="preserve">Sigurdsson B et al. The Lancet 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>(1958)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Iceland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Children without pre-existing antibody were administered 2 doses of ID or subcutaneous IPV vaccine (different manufacturers).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Seroconversion rates were 2/13, 10/12, and 7/12 in the ID arm vs. 5/17, 16/16, and 10/15 in the subcutaneous arm for serotypes 1, 2, and 3.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Magnus H et al. 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lastRenderedPageBreak/>
              <w:t>Cellular biology; nucleic acids and viruses</w:t>
            </w:r>
            <w:r w:rsidRPr="002E1603">
              <w:rPr>
                <w:rFonts w:asciiTheme="minorHAnsi" w:hAnsiTheme="minorHAnsi" w:cs="Segoe UI"/>
                <w:sz w:val="16"/>
                <w:szCs w:val="16"/>
              </w:rPr>
              <w:t xml:space="preserve"> (1957)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lastRenderedPageBreak/>
              <w:t>Denmark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Children (n=107) were administered 3 doses of 0.2–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lastRenderedPageBreak/>
              <w:t>0.3 ml (2/5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  <w:vertAlign w:val="superscript"/>
              </w:rPr>
              <w:t>th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– 3/5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  <w:vertAlign w:val="superscript"/>
              </w:rPr>
              <w:t>th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 full dose) ID IPV. 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lastRenderedPageBreak/>
              <w:t xml:space="preserve">In children without pre-existing antibodies, seroconversion rates were 26/30, 32/32, and 33/35 for </w:t>
            </w: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lastRenderedPageBreak/>
              <w:t xml:space="preserve">serotypes 1, 2, and 3. </w:t>
            </w:r>
          </w:p>
        </w:tc>
      </w:tr>
      <w:tr w:rsidR="008234FB" w:rsidRPr="002E1603" w:rsidTr="00E32BD2">
        <w:tc>
          <w:tcPr>
            <w:tcW w:w="152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lastRenderedPageBreak/>
              <w:t>Salk J et al. Paediatrics (1953)</w:t>
            </w:r>
          </w:p>
        </w:tc>
        <w:tc>
          <w:tcPr>
            <w:tcW w:w="1593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Segoe UI"/>
                <w:sz w:val="16"/>
                <w:szCs w:val="16"/>
              </w:rPr>
            </w:pPr>
            <w:r w:rsidRPr="002E1603">
              <w:rPr>
                <w:rFonts w:asciiTheme="minorHAnsi" w:hAnsiTheme="minorHAnsi" w:cs="Segoe UI"/>
                <w:sz w:val="16"/>
                <w:szCs w:val="16"/>
              </w:rPr>
              <w:t>USA</w:t>
            </w:r>
          </w:p>
        </w:tc>
        <w:tc>
          <w:tcPr>
            <w:tcW w:w="3686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>Adults and children received either 3 doses of ID IPV or 3 doses of IM IPV, one week apart. Volumes of vaccine given ID were 1/6 to 1/10 the volumes given IM.</w:t>
            </w:r>
          </w:p>
        </w:tc>
        <w:tc>
          <w:tcPr>
            <w:tcW w:w="6757" w:type="dxa"/>
          </w:tcPr>
          <w:p w:rsidR="008234FB" w:rsidRPr="002E1603" w:rsidRDefault="008234FB" w:rsidP="00E32BD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</w:pPr>
            <w:r w:rsidRPr="002E1603">
              <w:rPr>
                <w:rFonts w:asciiTheme="minorHAnsi" w:hAnsiTheme="minorHAnsi" w:cs="Arial"/>
                <w:sz w:val="16"/>
                <w:szCs w:val="16"/>
                <w:shd w:val="clear" w:color="auto" w:fill="FFFFFF"/>
              </w:rPr>
              <w:t xml:space="preserve">Seroconversion rates were 100% for all three serotypes in the IM arms but 100%, 78% and 92% for serotypes 1, 2, and 3 in the ID arm. </w:t>
            </w:r>
          </w:p>
        </w:tc>
      </w:tr>
    </w:tbl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tabs>
          <w:tab w:val="left" w:pos="2685"/>
        </w:tabs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ab/>
      </w: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Pr="002E1603" w:rsidRDefault="008234FB" w:rsidP="008234FB">
      <w:pPr>
        <w:pStyle w:val="NormalWeb"/>
        <w:spacing w:before="0" w:beforeAutospacing="0" w:after="0" w:afterAutospacing="0"/>
        <w:rPr>
          <w:rFonts w:ascii="Segoe UI" w:hAnsi="Segoe UI" w:cs="Segoe UI"/>
          <w:b/>
          <w:bCs/>
          <w:sz w:val="18"/>
          <w:szCs w:val="18"/>
        </w:rPr>
      </w:pPr>
    </w:p>
    <w:p w:rsidR="008234FB" w:rsidRDefault="008234FB"/>
    <w:sectPr w:rsidR="008234FB" w:rsidSect="00823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FB"/>
    <w:rsid w:val="00460798"/>
    <w:rsid w:val="008234FB"/>
    <w:rsid w:val="009B0DBC"/>
    <w:rsid w:val="009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3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234FB"/>
  </w:style>
  <w:style w:type="table" w:styleId="TableGrid">
    <w:name w:val="Table Grid"/>
    <w:basedOn w:val="TableNormal"/>
    <w:uiPriority w:val="59"/>
    <w:rsid w:val="00823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3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234FB"/>
  </w:style>
  <w:style w:type="table" w:styleId="TableGrid">
    <w:name w:val="Table Grid"/>
    <w:basedOn w:val="TableNormal"/>
    <w:uiPriority w:val="59"/>
    <w:rsid w:val="00823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WHO</Company>
  <LinksUpToDate>false</LinksUpToDate>
  <CharactersWithSpaces>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MACKLIN, Grace</dc:creator>
  <cp:lastModifiedBy>MACKLIN, Grace</cp:lastModifiedBy>
  <cp:revision>2</cp:revision>
  <dcterms:created xsi:type="dcterms:W3CDTF">2016-04-26T12:19:00Z</dcterms:created>
  <dcterms:modified xsi:type="dcterms:W3CDTF">2016-04-27T09:02:00Z</dcterms:modified>
</cp:coreProperties>
</file>